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atLeast"/>
        <w:jc w:val="center"/>
        <w:rPr>
          <w:rFonts w:asciiTheme="minorEastAsia" w:hAnsiTheme="minorEastAsia" w:eastAsiaTheme="minorEastAsia" w:cstheme="minorEastAsia"/>
          <w:b/>
          <w:bCs/>
          <w:sz w:val="44"/>
          <w:szCs w:val="44"/>
        </w:rPr>
      </w:pPr>
      <w:bookmarkStart w:id="16" w:name="_GoBack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金沙江银江水电站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工程物探检测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招标公告</w:t>
      </w:r>
    </w:p>
    <w:bookmarkEnd w:id="16"/>
    <w:p>
      <w:pPr>
        <w:spacing w:line="280" w:lineRule="atLeast"/>
        <w:jc w:val="center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pStyle w:val="6"/>
        <w:snapToGrid/>
        <w:spacing w:line="360" w:lineRule="auto"/>
        <w:ind w:firstLine="0" w:firstLineChars="0"/>
        <w:outlineLvl w:val="1"/>
        <w:rPr>
          <w:rFonts w:asciiTheme="minorEastAsia" w:hAnsiTheme="minorEastAsia" w:eastAsiaTheme="minorEastAsia" w:cstheme="minorEastAsia"/>
          <w:b/>
          <w:kern w:val="2"/>
          <w:sz w:val="28"/>
          <w:szCs w:val="28"/>
        </w:rPr>
      </w:pPr>
      <w:bookmarkStart w:id="0" w:name="_Toc421021278"/>
      <w:bookmarkStart w:id="1" w:name="_Toc7018"/>
      <w:r>
        <w:rPr>
          <w:rFonts w:hint="eastAsia" w:asciiTheme="minorEastAsia" w:hAnsiTheme="minorEastAsia" w:eastAsiaTheme="minorEastAsia" w:cstheme="minorEastAsia"/>
          <w:b/>
          <w:kern w:val="2"/>
          <w:sz w:val="28"/>
          <w:szCs w:val="28"/>
        </w:rPr>
        <w:t>1  招标条件</w:t>
      </w:r>
      <w:bookmarkEnd w:id="0"/>
      <w:bookmarkEnd w:id="1"/>
    </w:p>
    <w:p>
      <w:pPr>
        <w:spacing w:line="360" w:lineRule="auto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bookmarkStart w:id="2" w:name="_Toc421021279"/>
      <w:bookmarkStart w:id="3" w:name="_Toc286232501"/>
      <w:r>
        <w:rPr>
          <w:rFonts w:hint="eastAsia" w:asciiTheme="minorEastAsia" w:hAnsiTheme="minorEastAsia" w:eastAsiaTheme="minorEastAsia" w:cstheme="minorEastAsia"/>
          <w:sz w:val="28"/>
          <w:szCs w:val="28"/>
        </w:rPr>
        <w:t>1.1 本招标项目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金沙江银江水电站</w:t>
      </w:r>
      <w:r>
        <w:rPr>
          <w:rFonts w:hint="eastAsia" w:asciiTheme="minorEastAsia" w:hAnsiTheme="minorEastAsia" w:eastAsiaTheme="minorEastAsia" w:cstheme="minorEastAsia"/>
          <w:sz w:val="28"/>
        </w:rPr>
        <w:t>(项目名称)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已由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四川省发展和改革委员会</w:t>
      </w:r>
      <w:r>
        <w:rPr>
          <w:rFonts w:hint="eastAsia" w:asciiTheme="minorEastAsia" w:hAnsiTheme="minorEastAsia" w:eastAsiaTheme="minorEastAsia" w:cstheme="minorEastAsia"/>
          <w:sz w:val="28"/>
        </w:rPr>
        <w:t>(项目审批、核准或备案机关名称)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以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川发改能源〔 2018 〕175 号</w:t>
      </w:r>
      <w:r>
        <w:rPr>
          <w:rFonts w:hint="eastAsia" w:asciiTheme="minorEastAsia" w:hAnsiTheme="minorEastAsia" w:eastAsiaTheme="minorEastAsia" w:cstheme="minorEastAsia"/>
          <w:sz w:val="28"/>
        </w:rPr>
        <w:t>（批文名称及编号）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批准建设，项目业主为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攀枝花华润水电开发有限公司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，建设资金来自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自筹</w:t>
      </w:r>
      <w:r>
        <w:rPr>
          <w:rFonts w:hint="eastAsia" w:asciiTheme="minorEastAsia" w:hAnsiTheme="minorEastAsia" w:eastAsiaTheme="minorEastAsia" w:cstheme="minorEastAsia"/>
          <w:sz w:val="28"/>
        </w:rPr>
        <w:t>（资金来源）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，项目出资比例为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自筹20% 、融资80%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，招标人为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攀枝花华润水电开发有限公司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。项目已具备招标条件，现对该项目的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工程物探检测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标段进行公开招标。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1.2 本招标项目为四川省行政区域内的国家投资工程建设项目，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四川省发展和改革委员会</w:t>
      </w:r>
      <w:r>
        <w:rPr>
          <w:rFonts w:hint="eastAsia" w:asciiTheme="minorEastAsia" w:hAnsiTheme="minorEastAsia" w:eastAsiaTheme="minorEastAsia" w:cstheme="minorEastAsia"/>
          <w:sz w:val="28"/>
        </w:rPr>
        <w:t>（核准机关名称）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核准（招标事项核准文号为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川发改法规函〔 2019 〕1321 号）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的招标组织形式为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自行招标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pStyle w:val="6"/>
        <w:snapToGrid/>
        <w:spacing w:line="360" w:lineRule="auto"/>
        <w:ind w:firstLine="0" w:firstLineChars="0"/>
        <w:outlineLvl w:val="1"/>
        <w:rPr>
          <w:rFonts w:asciiTheme="minorEastAsia" w:hAnsiTheme="minorEastAsia" w:eastAsiaTheme="minorEastAsia" w:cstheme="minorEastAsia"/>
          <w:b/>
          <w:sz w:val="28"/>
          <w:szCs w:val="28"/>
        </w:rPr>
      </w:pPr>
      <w:bookmarkStart w:id="4" w:name="_Toc1597"/>
      <w:r>
        <w:rPr>
          <w:rFonts w:hint="eastAsia" w:asciiTheme="minorEastAsia" w:hAnsiTheme="minorEastAsia" w:eastAsiaTheme="minorEastAsia" w:cstheme="minorEastAsia"/>
          <w:b/>
          <w:kern w:val="2"/>
          <w:sz w:val="28"/>
          <w:szCs w:val="28"/>
        </w:rPr>
        <w:t>2  项目概况与招标范围</w:t>
      </w:r>
      <w:bookmarkEnd w:id="2"/>
      <w:bookmarkEnd w:id="4"/>
    </w:p>
    <w:bookmarkEnd w:id="3"/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2.1  项目概况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银江水电站位于金沙江中游攀枝花河段末端——金沙江和雅砻江汇合口上游约3.6km，上距攀枝花市主城区（攀枝花水文断面）约10km，上游衔接梯级为金沙水电站，两梯级相距21.39km，控制流域面积25.98万km</w:t>
      </w:r>
      <w:r>
        <w:rPr>
          <w:rFonts w:hint="eastAsia" w:asciiTheme="minorEastAsia" w:hAnsiTheme="minorEastAsia" w:eastAsiaTheme="minorEastAsia" w:cstheme="minorEastAsia"/>
          <w:sz w:val="28"/>
          <w:szCs w:val="28"/>
          <w:vertAlign w:val="superscript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，多年平均流量1870m</w:t>
      </w:r>
      <w:r>
        <w:rPr>
          <w:rFonts w:hint="eastAsia" w:asciiTheme="minorEastAsia" w:hAnsiTheme="minorEastAsia" w:eastAsiaTheme="minorEastAsia" w:cstheme="minorEastAsia"/>
          <w:sz w:val="28"/>
          <w:szCs w:val="28"/>
          <w:vertAlign w:val="superscript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/s，年径流量590亿m</w:t>
      </w:r>
      <w:r>
        <w:rPr>
          <w:rFonts w:hint="eastAsia" w:asciiTheme="minorEastAsia" w:hAnsiTheme="minorEastAsia" w:eastAsiaTheme="minorEastAsia" w:cstheme="minorEastAsia"/>
          <w:sz w:val="28"/>
          <w:szCs w:val="28"/>
          <w:vertAlign w:val="superscript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银江水电站开发任务为发电、改善城市水域景观和取水条件等。水库正常蓄水位998.5m，死水位998.0m，总库容5900万m</w:t>
      </w:r>
      <w:r>
        <w:rPr>
          <w:rFonts w:hint="eastAsia" w:asciiTheme="minorEastAsia" w:hAnsiTheme="minorEastAsia" w:eastAsiaTheme="minorEastAsia" w:cstheme="minorEastAsia"/>
          <w:sz w:val="28"/>
          <w:szCs w:val="28"/>
          <w:vertAlign w:val="superscript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，调节库容180万m</w:t>
      </w:r>
      <w:r>
        <w:rPr>
          <w:rFonts w:hint="eastAsia" w:asciiTheme="minorEastAsia" w:hAnsiTheme="minorEastAsia" w:eastAsiaTheme="minorEastAsia" w:cstheme="minorEastAsia"/>
          <w:sz w:val="28"/>
          <w:szCs w:val="28"/>
          <w:vertAlign w:val="superscript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，库容系数0.003%，为径流式电站。电站装机容量390MW，最大坝高73m，多年平均年发电量15.69/18.34亿kW·h（龙盘建成前/后）。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2.2 招标范围：本合同项目的招标内容和主要项目为：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本次招标项目为金沙江银江水电站工程物探检测，主要内容包括（但不限于）：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（1）围堰防渗墙物探检测。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（2）大坝结构混凝土物探检测。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（3）基础固结灌浆质量检测。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（4）帷幕灌浆质量检测。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（5）灌浆平硐回填灌浆质量检测。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（6）银江大桥、跨明渠桥灌注桩质量检测。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（7）配合验收工作。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2.3 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本合同服务期限为：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u w:val="single"/>
        </w:rPr>
        <w:t>2020年10月15日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至2026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u w:val="single"/>
        </w:rPr>
        <w:t>年12月31日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t>。各检测项目的控制性进度与相应土建施工进度相匹配。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2.4  服务质量要求：满足国家、行业相关标准规定。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2.5 标段划分：本标段分为 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 xml:space="preserve">1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个标段。</w:t>
      </w:r>
    </w:p>
    <w:p>
      <w:pPr>
        <w:pStyle w:val="6"/>
        <w:snapToGrid/>
        <w:spacing w:line="360" w:lineRule="auto"/>
        <w:ind w:firstLine="562"/>
        <w:outlineLvl w:val="1"/>
        <w:rPr>
          <w:rFonts w:asciiTheme="minorEastAsia" w:hAnsiTheme="minorEastAsia" w:eastAsiaTheme="minorEastAsia" w:cstheme="minorEastAsia"/>
          <w:sz w:val="28"/>
          <w:szCs w:val="28"/>
        </w:rPr>
      </w:pPr>
      <w:bookmarkStart w:id="5" w:name="_Toc4529"/>
      <w:bookmarkStart w:id="6" w:name="_Toc421021280"/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3  投标人资格要求</w:t>
      </w:r>
      <w:bookmarkEnd w:id="5"/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 xml:space="preserve"> </w:t>
      </w:r>
      <w:bookmarkEnd w:id="6"/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3.1本次招标要求投标人须具备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独立法人资格，并具有工程勘察综合类甲级或工程设计综合甲级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资质；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近10年内具有不少于一个II等大（2）型及以上水利水电工程施工期物探检测或勘察设计（在建或完工）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类似项目业绩，并在人员、设备、资金等方面具有相应的承包能力。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3.2  本次招标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不接受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联合体投标。</w:t>
      </w:r>
    </w:p>
    <w:p>
      <w:pPr>
        <w:pStyle w:val="6"/>
        <w:snapToGrid/>
        <w:spacing w:line="360" w:lineRule="auto"/>
        <w:ind w:firstLine="562"/>
        <w:outlineLvl w:val="1"/>
        <w:rPr>
          <w:rFonts w:asciiTheme="minorEastAsia" w:hAnsiTheme="minorEastAsia" w:eastAsiaTheme="minorEastAsia" w:cstheme="minorEastAsia"/>
          <w:b/>
          <w:sz w:val="28"/>
          <w:szCs w:val="28"/>
        </w:rPr>
      </w:pPr>
      <w:bookmarkStart w:id="7" w:name="_Toc421021281"/>
      <w:bookmarkStart w:id="8" w:name="_Toc31354"/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4  招标文件的获取</w:t>
      </w:r>
      <w:bookmarkEnd w:id="7"/>
      <w:bookmarkEnd w:id="8"/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bookmarkStart w:id="9" w:name="_Toc421021282"/>
      <w:bookmarkStart w:id="10" w:name="_Toc286232504"/>
      <w:r>
        <w:rPr>
          <w:rFonts w:hint="eastAsia" w:asciiTheme="minorEastAsia" w:hAnsiTheme="minorEastAsia" w:eastAsiaTheme="minorEastAsia" w:cstheme="minorEastAsia"/>
          <w:sz w:val="28"/>
          <w:szCs w:val="28"/>
        </w:rPr>
        <w:t>4.1 凡有意参加投标者，请于2020年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月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日开始登陆全国公共资源交易平台（四川省）（http://ggzyjy.sc.gov.cn/）“国家投资建设工程类项目系统登录入口”，通过数字证书免费下载招标资料（招标文件、工程量清单、施工图纸等）。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4.2 招标人不提供其他任何报名和招标文件获取的方式。</w:t>
      </w:r>
    </w:p>
    <w:p>
      <w:pPr>
        <w:pStyle w:val="6"/>
        <w:snapToGrid/>
        <w:spacing w:line="360" w:lineRule="auto"/>
        <w:ind w:firstLine="562"/>
        <w:outlineLvl w:val="1"/>
        <w:rPr>
          <w:rFonts w:asciiTheme="minorEastAsia" w:hAnsiTheme="minorEastAsia" w:eastAsiaTheme="minorEastAsia" w:cstheme="minorEastAsia"/>
          <w:b/>
          <w:sz w:val="28"/>
          <w:szCs w:val="28"/>
        </w:rPr>
      </w:pPr>
      <w:bookmarkStart w:id="11" w:name="_Toc4582"/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5投标文件的递交</w:t>
      </w:r>
      <w:bookmarkEnd w:id="9"/>
      <w:bookmarkEnd w:id="10"/>
      <w:bookmarkEnd w:id="11"/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bookmarkStart w:id="12" w:name="_Toc421021283"/>
      <w:r>
        <w:rPr>
          <w:rFonts w:hint="eastAsia" w:asciiTheme="minorEastAsia" w:hAnsiTheme="minorEastAsia" w:eastAsiaTheme="minorEastAsia" w:cstheme="minorEastAsia"/>
          <w:sz w:val="28"/>
          <w:szCs w:val="28"/>
        </w:rPr>
        <w:t>5.1 投标文件递交的截止时间（投标截止时间，下同）为2020年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时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分，地点为：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四川省政府政务服务和公共资源交易服务中心（成都市青羊区人民中路3段35号）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pStyle w:val="6"/>
        <w:snapToGrid/>
        <w:spacing w:line="360" w:lineRule="auto"/>
        <w:ind w:firstLine="56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5.2 逾期送达的或者未送达指定地点的投标文件，招标人不予受理。</w:t>
      </w:r>
    </w:p>
    <w:p>
      <w:pPr>
        <w:pStyle w:val="6"/>
        <w:snapToGrid/>
        <w:spacing w:line="360" w:lineRule="auto"/>
        <w:ind w:firstLine="562"/>
        <w:outlineLvl w:val="1"/>
        <w:rPr>
          <w:rFonts w:asciiTheme="minorEastAsia" w:hAnsiTheme="minorEastAsia" w:eastAsiaTheme="minorEastAsia" w:cstheme="minorEastAsia"/>
          <w:b/>
          <w:sz w:val="28"/>
          <w:szCs w:val="28"/>
        </w:rPr>
      </w:pPr>
      <w:bookmarkStart w:id="13" w:name="_Toc15547"/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6发布公告的媒介</w:t>
      </w:r>
      <w:bookmarkEnd w:id="12"/>
      <w:bookmarkEnd w:id="13"/>
    </w:p>
    <w:p>
      <w:pPr>
        <w:spacing w:line="360" w:lineRule="auto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bookmarkStart w:id="14" w:name="_Toc421021284"/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本次招标公告在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u w:val="single"/>
        </w:rPr>
        <w:t>四川省投资集团有限责任公司、四川川投能源股份有限公司、四川省公共资源交易信息网《全国公共资源交易平台（四川省）》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(发布公告的所有媒介名称）上发布。</w:t>
      </w:r>
    </w:p>
    <w:p>
      <w:pPr>
        <w:pStyle w:val="6"/>
        <w:snapToGrid/>
        <w:spacing w:line="360" w:lineRule="auto"/>
        <w:ind w:firstLine="562"/>
        <w:outlineLvl w:val="1"/>
        <w:rPr>
          <w:rFonts w:asciiTheme="minorEastAsia" w:hAnsiTheme="minorEastAsia" w:eastAsiaTheme="minorEastAsia" w:cstheme="minorEastAsia"/>
          <w:b/>
          <w:sz w:val="28"/>
          <w:szCs w:val="28"/>
        </w:rPr>
      </w:pPr>
      <w:bookmarkStart w:id="15" w:name="_Toc30106"/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7联系方式</w:t>
      </w:r>
      <w:bookmarkEnd w:id="14"/>
      <w:bookmarkEnd w:id="15"/>
    </w:p>
    <w:p>
      <w:pPr>
        <w:spacing w:line="360" w:lineRule="auto"/>
        <w:ind w:firstLine="495" w:firstLineChars="177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招标人：攀枝花华润水电开发有限公司</w:t>
      </w:r>
    </w:p>
    <w:p>
      <w:pPr>
        <w:spacing w:line="360" w:lineRule="auto"/>
        <w:ind w:firstLine="495" w:firstLineChars="177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地址： 攀枝花东区人民街 29-41号</w:t>
      </w:r>
    </w:p>
    <w:p>
      <w:pPr>
        <w:spacing w:line="360" w:lineRule="auto"/>
        <w:ind w:firstLine="495" w:firstLineChars="177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邮编： 475000</w:t>
      </w:r>
    </w:p>
    <w:p>
      <w:pPr>
        <w:spacing w:line="360" w:lineRule="auto"/>
        <w:ind w:firstLine="495" w:firstLineChars="177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联系人： 熊工</w:t>
      </w:r>
    </w:p>
    <w:p>
      <w:pPr>
        <w:spacing w:line="360" w:lineRule="auto"/>
        <w:ind w:firstLine="495" w:firstLineChars="177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电话： 0812-5502032</w:t>
      </w:r>
    </w:p>
    <w:p>
      <w:pPr>
        <w:spacing w:line="360" w:lineRule="auto"/>
        <w:ind w:firstLine="495" w:firstLineChars="177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传真： 0812-5550850</w:t>
      </w:r>
    </w:p>
    <w:p>
      <w:pPr>
        <w:pStyle w:val="8"/>
        <w:spacing w:before="0" w:after="0"/>
        <w:outlineLvl w:val="9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jc w:val="right"/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020年7月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